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C84ACE" w:rsidRDefault="008F5152" w:rsidP="00A27E23">
      <w:pPr>
        <w:rPr>
          <w:rFonts w:eastAsia="Times New Roman" w:cstheme="minorHAnsi"/>
          <w:b/>
          <w:bCs/>
          <w:lang w:eastAsia="nb-NO"/>
        </w:rPr>
      </w:pPr>
      <w:r w:rsidRPr="00C84ACE">
        <w:rPr>
          <w:rFonts w:cstheme="minorHAnsi"/>
          <w:b/>
        </w:rPr>
        <w:t>Sarkom</w:t>
      </w:r>
      <w:r w:rsidR="00A27E23" w:rsidRPr="00C84ACE">
        <w:rPr>
          <w:rFonts w:cstheme="minorHAnsi"/>
          <w:b/>
        </w:rPr>
        <w:t xml:space="preserve">: </w:t>
      </w:r>
      <w:r w:rsidR="00A27E23" w:rsidRPr="00C84ACE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C84ACE" w:rsidRPr="00C84ACE" w:rsidRDefault="00C84ACE" w:rsidP="00C84A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84ACE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Ben og bløtvevssarkom i ekstremiteter, </w:t>
      </w:r>
      <w:proofErr w:type="spellStart"/>
      <w:r w:rsidRPr="00C84ACE">
        <w:rPr>
          <w:rStyle w:val="Sterk"/>
          <w:rFonts w:asciiTheme="minorHAnsi" w:hAnsiTheme="minorHAnsi" w:cstheme="minorHAnsi"/>
          <w:color w:val="212121"/>
          <w:sz w:val="22"/>
          <w:szCs w:val="22"/>
        </w:rPr>
        <w:t>trunkus</w:t>
      </w:r>
      <w:proofErr w:type="spellEnd"/>
      <w:r w:rsidRPr="00C84ACE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eller ØNH- region</w:t>
      </w:r>
      <w:r w:rsidRPr="00C84ACE">
        <w:rPr>
          <w:rFonts w:asciiTheme="minorHAnsi" w:hAnsiTheme="minorHAnsi" w:cstheme="minorHAnsi"/>
          <w:b/>
          <w:bCs/>
          <w:color w:val="212121"/>
          <w:sz w:val="22"/>
          <w:szCs w:val="22"/>
        </w:rPr>
        <w:br/>
      </w:r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Første undersøkelse initieres oftest av fastlege eller lege på lokalt sykehus. Ved klinisk mistanke om sarkom skal det tas kontakt med sarkomsenter eller henvises til relevant </w:t>
      </w:r>
      <w:proofErr w:type="spellStart"/>
      <w:r w:rsidRPr="00C84ACE">
        <w:rPr>
          <w:rFonts w:asciiTheme="minorHAnsi" w:hAnsiTheme="minorHAnsi" w:cstheme="minorHAnsi"/>
          <w:color w:val="212121"/>
          <w:sz w:val="22"/>
          <w:szCs w:val="22"/>
        </w:rPr>
        <w:t>bildediagnostisk</w:t>
      </w:r>
      <w:proofErr w:type="spellEnd"/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 undersøkelse. Vanligvis begynner utredning for bløtvevslesjoner med </w:t>
      </w:r>
      <w:proofErr w:type="spellStart"/>
      <w:r w:rsidRPr="00C84ACE">
        <w:rPr>
          <w:rFonts w:asciiTheme="minorHAnsi" w:hAnsiTheme="minorHAnsi" w:cstheme="minorHAnsi"/>
          <w:color w:val="212121"/>
          <w:sz w:val="22"/>
          <w:szCs w:val="22"/>
        </w:rPr>
        <w:t>MR</w:t>
      </w:r>
      <w:proofErr w:type="spellEnd"/>
      <w:r w:rsidRPr="00C84ACE">
        <w:rPr>
          <w:rFonts w:asciiTheme="minorHAnsi" w:hAnsiTheme="minorHAnsi" w:cstheme="minorHAnsi"/>
          <w:color w:val="212121"/>
          <w:sz w:val="22"/>
          <w:szCs w:val="22"/>
        </w:rPr>
        <w:t>, og for benlesjoner med både røntgen og MR. Noen ganger kan det være aktuelt å supplere med CT. Disse undersøkelsene kan avkrefte malign diagnose hos de fleste pasienter.</w:t>
      </w:r>
    </w:p>
    <w:p w:rsidR="00C84ACE" w:rsidRPr="00C84ACE" w:rsidRDefault="00C84ACE" w:rsidP="00C84ACE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84ACE">
        <w:rPr>
          <w:rFonts w:asciiTheme="minorHAnsi" w:hAnsiTheme="minorHAnsi" w:cstheme="minorHAnsi"/>
          <w:color w:val="212121"/>
          <w:sz w:val="22"/>
          <w:szCs w:val="22"/>
        </w:rPr>
        <w:t>Tolkning av radiologiske funn ved mistanke om sarkom kan være krevende og trenge ekspertise som kun er tilgjengelig i høyspesialiserte miljøer på sarkomsentrene. I slike tilfeller vil et sarkomsenter også kunne inngå i filterfunksjonen før eventuelt inklusjon i pakkeforløp.</w:t>
      </w:r>
    </w:p>
    <w:p w:rsidR="00C84ACE" w:rsidRPr="00C84ACE" w:rsidRDefault="00C84ACE" w:rsidP="00C84ACE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C84ACE">
        <w:rPr>
          <w:rFonts w:asciiTheme="minorHAnsi" w:hAnsiTheme="minorHAnsi" w:cstheme="minorHAnsi"/>
          <w:color w:val="212121"/>
          <w:sz w:val="22"/>
          <w:szCs w:val="22"/>
        </w:rPr>
        <w:t>Ved mistanke om sarkom skal det ikke utføres biopsi eller operasjon før henvising. Antatt godartet tumor skal alltid sendes til histologi etter operativ fjerning.</w:t>
      </w:r>
    </w:p>
    <w:p w:rsidR="00C84ACE" w:rsidRPr="00C84ACE" w:rsidRDefault="00C84ACE" w:rsidP="00C84ACE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proofErr w:type="spellStart"/>
      <w:r w:rsidRPr="00C84ACE">
        <w:rPr>
          <w:rStyle w:val="Sterk"/>
          <w:rFonts w:asciiTheme="minorHAnsi" w:hAnsiTheme="minorHAnsi" w:cstheme="minorHAnsi"/>
          <w:color w:val="212121"/>
          <w:sz w:val="22"/>
          <w:szCs w:val="22"/>
        </w:rPr>
        <w:t>Retroperitoneale</w:t>
      </w:r>
      <w:proofErr w:type="spellEnd"/>
      <w:r w:rsidRPr="00C84ACE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og viscerale sarkom</w:t>
      </w:r>
      <w:r w:rsidRPr="00C84ACE">
        <w:rPr>
          <w:rFonts w:asciiTheme="minorHAnsi" w:hAnsiTheme="minorHAnsi" w:cstheme="minorHAnsi"/>
          <w:b/>
          <w:bCs/>
          <w:color w:val="212121"/>
          <w:sz w:val="22"/>
          <w:szCs w:val="22"/>
        </w:rPr>
        <w:br/>
      </w:r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Pasienter med </w:t>
      </w:r>
      <w:proofErr w:type="spellStart"/>
      <w:r w:rsidRPr="00C84ACE">
        <w:rPr>
          <w:rFonts w:asciiTheme="minorHAnsi" w:hAnsiTheme="minorHAnsi" w:cstheme="minorHAnsi"/>
          <w:color w:val="212121"/>
          <w:sz w:val="22"/>
          <w:szCs w:val="22"/>
        </w:rPr>
        <w:t>retroperitoneal</w:t>
      </w:r>
      <w:r>
        <w:rPr>
          <w:rFonts w:asciiTheme="minorHAnsi" w:hAnsiTheme="minorHAnsi" w:cstheme="minorHAnsi"/>
          <w:color w:val="212121"/>
          <w:sz w:val="22"/>
          <w:szCs w:val="22"/>
        </w:rPr>
        <w:t>t</w:t>
      </w:r>
      <w:proofErr w:type="spellEnd"/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 eller abdominal</w:t>
      </w:r>
      <w:r w:rsidRPr="00C84ACE">
        <w:rPr>
          <w:rFonts w:asciiTheme="minorHAnsi" w:hAnsiTheme="minorHAnsi" w:cstheme="minorHAnsi"/>
          <w:color w:val="212121"/>
          <w:sz w:val="22"/>
          <w:szCs w:val="22"/>
        </w:rPr>
        <w:t>t</w:t>
      </w:r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 sarkom kan som regel ikke identifiseres på generell </w:t>
      </w:r>
      <w:proofErr w:type="spellStart"/>
      <w:r w:rsidRPr="00C84ACE">
        <w:rPr>
          <w:rFonts w:asciiTheme="minorHAnsi" w:hAnsiTheme="minorHAnsi" w:cstheme="minorHAnsi"/>
          <w:color w:val="212121"/>
          <w:sz w:val="22"/>
          <w:szCs w:val="22"/>
        </w:rPr>
        <w:t>malignitetsmistanke</w:t>
      </w:r>
      <w:proofErr w:type="spellEnd"/>
      <w:r w:rsidRPr="00C84ACE">
        <w:rPr>
          <w:rFonts w:asciiTheme="minorHAnsi" w:hAnsiTheme="minorHAnsi" w:cstheme="minorHAnsi"/>
          <w:color w:val="212121"/>
          <w:sz w:val="22"/>
          <w:szCs w:val="22"/>
        </w:rPr>
        <w:t xml:space="preserve"> i abdomen og vil derfor primært inngå i utredning eller pakkeforløp for andre abdominale kreftformer.</w:t>
      </w:r>
    </w:p>
    <w:p w:rsidR="00C84ACE" w:rsidRPr="00C84ACE" w:rsidRDefault="00C84ACE" w:rsidP="005A2A77">
      <w:pPr>
        <w:shd w:val="clear" w:color="auto" w:fill="FFFFFF"/>
        <w:spacing w:after="0" w:line="240" w:lineRule="auto"/>
        <w:rPr>
          <w:rFonts w:cstheme="minorHAnsi"/>
          <w:color w:val="212121"/>
          <w:shd w:val="clear" w:color="auto" w:fill="FFFFFF"/>
        </w:rPr>
      </w:pPr>
    </w:p>
    <w:p w:rsidR="008F5152" w:rsidRPr="00C84ACE" w:rsidRDefault="008F5152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C84ACE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C84ACE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C84ACE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Sarkom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701"/>
    <w:multiLevelType w:val="multilevel"/>
    <w:tmpl w:val="88F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6"/>
  </w:num>
  <w:num w:numId="14">
    <w:abstractNumId w:val="17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412C7B"/>
    <w:rsid w:val="00464CC4"/>
    <w:rsid w:val="005A2A77"/>
    <w:rsid w:val="005C57F5"/>
    <w:rsid w:val="005E53A4"/>
    <w:rsid w:val="00690B1B"/>
    <w:rsid w:val="006C643A"/>
    <w:rsid w:val="006D13D9"/>
    <w:rsid w:val="00787AB7"/>
    <w:rsid w:val="00791963"/>
    <w:rsid w:val="008330D4"/>
    <w:rsid w:val="008503B7"/>
    <w:rsid w:val="0086424E"/>
    <w:rsid w:val="008A4A67"/>
    <w:rsid w:val="008A6216"/>
    <w:rsid w:val="008F5152"/>
    <w:rsid w:val="00931172"/>
    <w:rsid w:val="00994CBA"/>
    <w:rsid w:val="00A22A16"/>
    <w:rsid w:val="00A27E23"/>
    <w:rsid w:val="00A3229D"/>
    <w:rsid w:val="00B905F4"/>
    <w:rsid w:val="00C84ACE"/>
    <w:rsid w:val="00CD6E54"/>
    <w:rsid w:val="00CE6384"/>
    <w:rsid w:val="00E976E0"/>
    <w:rsid w:val="00F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C8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sar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2023-10-12T08:21:00Z</dcterms:created>
  <dcterms:modified xsi:type="dcterms:W3CDTF">2023-10-12T08:22:00Z</dcterms:modified>
</cp:coreProperties>
</file>